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21"/>
        <w:tblW w:w="0" w:type="auto"/>
        <w:tblCellSpacing w:w="7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70"/>
        <w:gridCol w:w="1029"/>
        <w:gridCol w:w="1184"/>
        <w:gridCol w:w="14"/>
        <w:gridCol w:w="1194"/>
        <w:gridCol w:w="533"/>
      </w:tblGrid>
      <w:tr w:rsidR="00155B10" w:rsidTr="000C055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682B4"/>
            <w:vAlign w:val="center"/>
            <w:hideMark/>
          </w:tcPr>
          <w:p w:rsidR="00EF72A6" w:rsidRDefault="000C055C" w:rsidP="000C055C">
            <w:pPr>
              <w:pStyle w:val="NormalWeb"/>
              <w:rPr>
                <w:b/>
                <w:bCs/>
                <w:color w:val="FFFFFF"/>
              </w:rPr>
            </w:pPr>
            <w:r w:rsidRPr="000C055C">
              <w:rPr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editId="36B11C9B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-610870</wp:posOffset>
                      </wp:positionV>
                      <wp:extent cx="4400550" cy="323850"/>
                      <wp:effectExtent l="0" t="0" r="19050" b="1905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0055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055C" w:rsidRPr="000C055C" w:rsidRDefault="000C055C">
                                  <w:pPr>
                                    <w:rPr>
                                      <w:b/>
                                      <w:u w:val="single"/>
                                    </w:rPr>
                                  </w:pPr>
                                  <w:r w:rsidRPr="000C055C">
                                    <w:rPr>
                                      <w:b/>
                                      <w:u w:val="single"/>
                                    </w:rPr>
                                    <w:t>BASELINE REAL-TIME MONITORING REPORT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2.25pt;margin-top:-48.1pt;width:346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">
                      <v:textbox>
                        <w:txbxContent>
                          <w:p w:rsidR="000C055C" w:rsidRPr="000C055C" w:rsidRDefault="000C055C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0C055C">
                              <w:rPr>
                                <w:b/>
                                <w:u w:val="single"/>
                              </w:rPr>
                              <w:t>BASELINE REAL-TIME MONITORING REPORT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F72A6">
              <w:rPr>
                <w:b/>
                <w:bCs/>
                <w:color w:val="FFFFFF"/>
              </w:rPr>
              <w:t>Indicator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682B4"/>
            <w:vAlign w:val="center"/>
            <w:hideMark/>
          </w:tcPr>
          <w:p w:rsidR="00EF72A6" w:rsidRDefault="00EF72A6" w:rsidP="000C055C">
            <w:pPr>
              <w:jc w:val="center"/>
              <w:rPr>
                <w:rFonts w:eastAsia="Times New Roman"/>
                <w:b/>
                <w:bCs/>
                <w:color w:val="FFFFFF"/>
              </w:rPr>
            </w:pPr>
            <w:r>
              <w:rPr>
                <w:rFonts w:eastAsia="Times New Roman"/>
                <w:b/>
                <w:bCs/>
                <w:color w:val="FFFFFF"/>
              </w:rPr>
              <w:t>Latest Month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682B4"/>
            <w:vAlign w:val="center"/>
            <w:hideMark/>
          </w:tcPr>
          <w:p w:rsidR="00EF72A6" w:rsidRDefault="00EF72A6" w:rsidP="000C055C">
            <w:pPr>
              <w:jc w:val="center"/>
              <w:rPr>
                <w:rFonts w:eastAsia="Times New Roman"/>
                <w:b/>
                <w:bCs/>
                <w:color w:val="FFFFFF"/>
              </w:rPr>
            </w:pPr>
            <w:r>
              <w:rPr>
                <w:rFonts w:eastAsia="Times New Roman"/>
                <w:b/>
                <w:bCs/>
                <w:color w:val="FFFFFF"/>
              </w:rPr>
              <w:t>Latest Month Figure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682B4"/>
            <w:vAlign w:val="center"/>
            <w:hideMark/>
          </w:tcPr>
          <w:p w:rsidR="00EF72A6" w:rsidRDefault="00EF72A6" w:rsidP="000C055C">
            <w:pPr>
              <w:jc w:val="center"/>
              <w:rPr>
                <w:rFonts w:eastAsia="Times New Roman"/>
                <w:b/>
                <w:bCs/>
                <w:color w:val="FFFFFF"/>
              </w:rPr>
            </w:pPr>
            <w:r>
              <w:rPr>
                <w:rFonts w:eastAsia="Times New Roman"/>
                <w:b/>
                <w:bCs/>
                <w:color w:val="FFFFFF"/>
              </w:rPr>
              <w:t>Average 6 Months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682B4"/>
            <w:vAlign w:val="center"/>
            <w:hideMark/>
          </w:tcPr>
          <w:p w:rsidR="00EF72A6" w:rsidRDefault="00EF72A6" w:rsidP="000C055C">
            <w:pPr>
              <w:pStyle w:val="NormalWeb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Goal</w:t>
            </w:r>
          </w:p>
        </w:tc>
      </w:tr>
      <w:tr w:rsidR="00EF72A6" w:rsidTr="000C055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IVDU (Injecting venous drug-users) who are not already known to be immune to HBV (Hepatitis B Virus), should have serology for HBV done on their initial attendance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April 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55.81%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55.50%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90%</w:t>
            </w:r>
          </w:p>
        </w:tc>
      </w:tr>
      <w:tr w:rsidR="00EF72A6" w:rsidTr="000C055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IVDU (Injecting venous drug-users) who are not already known to be immune to HBV (Hepatitis B Virus), should receive a dose of HBV vaccine on their initial attendance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April 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34.88%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35.66%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90%</w:t>
            </w:r>
          </w:p>
        </w:tc>
      </w:tr>
      <w:tr w:rsidR="00EF72A6" w:rsidTr="000C055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IVDU (Injecting venous drug-users) who are not already known to be immune to HBV (Hepatitis B Virus) and who on testing are not found to be either infected or immune to HBV, should receive 3 doses of HBV vaccine within 6 months of their initial attendance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October 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6.25%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6.94%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50%</w:t>
            </w:r>
          </w:p>
        </w:tc>
      </w:tr>
      <w:tr w:rsidR="00E52BAC" w:rsidTr="000C055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2BAC" w:rsidRDefault="00E52BAC" w:rsidP="000C055C">
            <w:pPr>
              <w:pStyle w:val="NormalWeb"/>
            </w:pPr>
            <w:r>
              <w:t>MSM (men-who-have-sex-with-men) who are not already known to be immune to HBV (Hepatitis B Virus), should have serology for HBV done on their initial attendance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2BAC" w:rsidRDefault="00C50FF6" w:rsidP="000C055C">
            <w:pPr>
              <w:pStyle w:val="NormalWeb"/>
            </w:pPr>
            <w:r>
              <w:t>April</w:t>
            </w:r>
            <w:r w:rsidR="00E52BAC">
              <w:t xml:space="preserve"> 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2BAC" w:rsidRDefault="00C50FF6" w:rsidP="000C055C">
            <w:pPr>
              <w:jc w:val="center"/>
              <w:rPr>
                <w:rFonts w:eastAsia="Times New Roman"/>
              </w:rPr>
            </w:pPr>
            <w:r>
              <w:t>78.57%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2BAC" w:rsidRDefault="00C50FF6" w:rsidP="000C055C">
            <w:pPr>
              <w:jc w:val="center"/>
              <w:rPr>
                <w:rFonts w:eastAsia="Times New Roman"/>
              </w:rPr>
            </w:pPr>
            <w:r>
              <w:t>86.93%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2BAC" w:rsidRDefault="00E52BAC" w:rsidP="000C055C">
            <w:pPr>
              <w:pStyle w:val="NormalWeb"/>
            </w:pPr>
            <w:r>
              <w:t>90%</w:t>
            </w:r>
          </w:p>
        </w:tc>
      </w:tr>
      <w:tr w:rsidR="00E52BAC" w:rsidTr="000C055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2BAC" w:rsidRDefault="00FA05C1" w:rsidP="000C055C">
            <w:pPr>
              <w:pStyle w:val="NormalWeb"/>
            </w:pPr>
            <w:r>
              <w:t>MSM (men-who-have-sex-with-men) who are not already known to be immune to HBV (Hepatitis B Virus), should receive a dose of HBV vaccine on their initial attendance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2BAC" w:rsidRDefault="00C50FF6" w:rsidP="000C055C">
            <w:pPr>
              <w:pStyle w:val="NormalWeb"/>
            </w:pPr>
            <w:r>
              <w:t>April 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2BAC" w:rsidRDefault="00C50FF6" w:rsidP="000C055C">
            <w:pPr>
              <w:jc w:val="center"/>
              <w:rPr>
                <w:rFonts w:eastAsia="Times New Roman"/>
              </w:rPr>
            </w:pPr>
            <w:r>
              <w:t>50.00%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2BAC" w:rsidRDefault="00C50FF6" w:rsidP="000C055C">
            <w:pPr>
              <w:jc w:val="center"/>
              <w:rPr>
                <w:rFonts w:eastAsia="Times New Roman"/>
              </w:rPr>
            </w:pPr>
            <w:r>
              <w:t>58.29%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2BAC" w:rsidRDefault="00FA05C1" w:rsidP="000C055C">
            <w:pPr>
              <w:pStyle w:val="NormalWeb"/>
            </w:pPr>
            <w:r>
              <w:t>90%</w:t>
            </w:r>
          </w:p>
        </w:tc>
      </w:tr>
      <w:tr w:rsidR="00E52BAC" w:rsidTr="000C055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2BAC" w:rsidRDefault="00E306B9" w:rsidP="000C055C">
            <w:pPr>
              <w:pStyle w:val="NormalWeb"/>
            </w:pPr>
            <w:r>
              <w:t>MSM (men-who-have-sex-with-men) who are not already known to be immune to HBV (Hepatitis B Virus) and who on testing are not found to be either infected or immune to HBV, should receive 3 doses of HBV vaccine within 6 months of their initial attendance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2BAC" w:rsidRDefault="00C50FF6" w:rsidP="000C055C">
            <w:pPr>
              <w:pStyle w:val="NormalWeb"/>
            </w:pPr>
            <w:r>
              <w:t>October 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2BAC" w:rsidRDefault="00C50FF6" w:rsidP="000C055C">
            <w:pPr>
              <w:jc w:val="center"/>
              <w:rPr>
                <w:rFonts w:eastAsia="Times New Roman"/>
              </w:rPr>
            </w:pPr>
            <w:r>
              <w:t>32.43%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2BAC" w:rsidRDefault="00C50FF6" w:rsidP="000C055C">
            <w:pPr>
              <w:jc w:val="center"/>
              <w:rPr>
                <w:rFonts w:eastAsia="Times New Roman"/>
              </w:rPr>
            </w:pPr>
            <w:r>
              <w:t>27.09%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2BAC" w:rsidRDefault="00E306B9" w:rsidP="000C055C">
            <w:pPr>
              <w:pStyle w:val="NormalWeb"/>
            </w:pPr>
            <w:r>
              <w:t>50%</w:t>
            </w:r>
          </w:p>
        </w:tc>
      </w:tr>
      <w:tr w:rsidR="00EF72A6" w:rsidTr="000C055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CSW (Commercial sex workers) who are not already known to be immune to HBV (Hepatitis B Virus), should have serology for HBV done on their initial attendance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April 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70.00%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67.55%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90%</w:t>
            </w:r>
          </w:p>
        </w:tc>
      </w:tr>
      <w:tr w:rsidR="00EF72A6" w:rsidTr="000C055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CSW (Commercial sex workers) who are not already known to be immune to HBV (Hepatitis B Virus), should receive a dose of HBV vaccine on their initial attendance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April 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40.00%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41.60%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90%</w:t>
            </w:r>
          </w:p>
        </w:tc>
      </w:tr>
      <w:tr w:rsidR="00EF72A6" w:rsidTr="000C055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CSW (Commercial sex workers) who are not already known to be immune to HBV (Hepatitis B Virus) and who on testing are not found to be either infected or immune to HBV, should receive 3 doses of HBV vaccine within 6 months of their initial attendance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October 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10.71%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10.67%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72A6" w:rsidRDefault="00EF72A6" w:rsidP="000C055C">
            <w:pPr>
              <w:pStyle w:val="NormalWeb"/>
            </w:pPr>
            <w:r>
              <w:t>50%</w:t>
            </w:r>
          </w:p>
        </w:tc>
      </w:tr>
      <w:tr w:rsidR="00155B10" w:rsidTr="000C055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055C" w:rsidRDefault="000C055C" w:rsidP="000C055C">
            <w:pPr>
              <w:pStyle w:val="NormalWeb"/>
            </w:pPr>
            <w:r>
              <w:t xml:space="preserve">Heterosexuals with 9+ partners in previous 12 months who are not already known to be </w:t>
            </w:r>
            <w:r>
              <w:lastRenderedPageBreak/>
              <w:t>immune to HBV (Hepatitis B Virus), should have serology for HBV done on their initial attendance (12 months rolling figures)</w:t>
            </w:r>
          </w:p>
          <w:p w:rsidR="00155B10" w:rsidRDefault="00155B10" w:rsidP="000C055C">
            <w:pPr>
              <w:pStyle w:val="NormalWeb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5B10" w:rsidRDefault="00155B10" w:rsidP="000C055C">
            <w:pPr>
              <w:pStyle w:val="NormalWeb"/>
            </w:pPr>
            <w:r>
              <w:lastRenderedPageBreak/>
              <w:t>April 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5B10" w:rsidRDefault="00155B10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71.69%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5B10" w:rsidRDefault="00155B10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71.50%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5B10" w:rsidRDefault="00155B10" w:rsidP="000C055C">
            <w:pPr>
              <w:pStyle w:val="NormalWeb"/>
            </w:pPr>
            <w:r>
              <w:t>90%</w:t>
            </w:r>
            <w:bookmarkStart w:id="0" w:name="_GoBack"/>
            <w:bookmarkEnd w:id="0"/>
          </w:p>
        </w:tc>
      </w:tr>
      <w:tr w:rsidR="00155B10" w:rsidTr="000C055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5B10" w:rsidRDefault="00155B10" w:rsidP="000C055C">
            <w:pPr>
              <w:pStyle w:val="NormalWeb"/>
            </w:pPr>
            <w:r>
              <w:lastRenderedPageBreak/>
              <w:t>Heterosexuals with 9+ partners in previous 12 months who are not already known to be immune to HBV, should receive a dose of HBV vaccine on their initial attendance (12 months rolling figures)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5B10" w:rsidRDefault="00155B10" w:rsidP="000C055C">
            <w:pPr>
              <w:pStyle w:val="NormalWeb"/>
            </w:pPr>
            <w:r>
              <w:t>April 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5B10" w:rsidRDefault="00155B10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46.12%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5B10" w:rsidRDefault="00155B10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47.69%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5B10" w:rsidRDefault="00155B10" w:rsidP="000C055C">
            <w:pPr>
              <w:pStyle w:val="NormalWeb"/>
            </w:pPr>
            <w:r>
              <w:t>90%</w:t>
            </w:r>
          </w:p>
        </w:tc>
      </w:tr>
      <w:tr w:rsidR="00155B10" w:rsidTr="000C055C">
        <w:trPr>
          <w:tblCellSpacing w:w="7" w:type="dxa"/>
        </w:trPr>
        <w:tc>
          <w:tcPr>
            <w:tcW w:w="4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5B10" w:rsidRDefault="00155B10" w:rsidP="000C055C">
            <w:pPr>
              <w:pStyle w:val="NormalWeb"/>
            </w:pPr>
            <w:r>
              <w:t>Heterosexuals with 9+ partners in previous 12 months who are not already known to be immune to HB and who on testing are not found to be infected/immune to HBV, should receive 3 doses of HBV vaccine within 6 months of initial attendance (12 months rolling figures)</w:t>
            </w:r>
          </w:p>
        </w:tc>
        <w:tc>
          <w:tcPr>
            <w:tcW w:w="1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5B10" w:rsidRDefault="00155B10" w:rsidP="000C055C">
            <w:pPr>
              <w:pStyle w:val="NormalWeb"/>
            </w:pPr>
            <w:r>
              <w:t>October 2014</w:t>
            </w:r>
          </w:p>
        </w:tc>
        <w:tc>
          <w:tcPr>
            <w:tcW w:w="11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5B10" w:rsidRDefault="00155B10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11.26%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5B10" w:rsidRDefault="00155B10" w:rsidP="000C05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9.49%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5B10" w:rsidRDefault="00155B10" w:rsidP="000C055C">
            <w:pPr>
              <w:pStyle w:val="NormalWeb"/>
            </w:pPr>
            <w:r>
              <w:t>50%</w:t>
            </w:r>
          </w:p>
        </w:tc>
      </w:tr>
    </w:tbl>
    <w:p w:rsidR="002C16BC" w:rsidRPr="00155B10" w:rsidRDefault="002C16BC" w:rsidP="000C055C">
      <w:pPr>
        <w:rPr>
          <w:b/>
          <w:u w:val="single"/>
        </w:rPr>
      </w:pPr>
    </w:p>
    <w:sectPr w:rsidR="002C16BC" w:rsidRPr="00155B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29A" w:rsidRDefault="00D8329A" w:rsidP="000C055C">
      <w:r>
        <w:separator/>
      </w:r>
    </w:p>
  </w:endnote>
  <w:endnote w:type="continuationSeparator" w:id="0">
    <w:p w:rsidR="00D8329A" w:rsidRDefault="00D8329A" w:rsidP="000C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29A" w:rsidRDefault="00D8329A" w:rsidP="000C055C">
      <w:r>
        <w:separator/>
      </w:r>
    </w:p>
  </w:footnote>
  <w:footnote w:type="continuationSeparator" w:id="0">
    <w:p w:rsidR="00D8329A" w:rsidRDefault="00D8329A" w:rsidP="000C0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2A6"/>
    <w:rsid w:val="000C055C"/>
    <w:rsid w:val="00155B10"/>
    <w:rsid w:val="002C16BC"/>
    <w:rsid w:val="00AD341F"/>
    <w:rsid w:val="00C50FF6"/>
    <w:rsid w:val="00D8329A"/>
    <w:rsid w:val="00E306B9"/>
    <w:rsid w:val="00E52BAC"/>
    <w:rsid w:val="00EF72A6"/>
    <w:rsid w:val="00FA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2A6"/>
    <w:rPr>
      <w:rFonts w:eastAsiaTheme="minorHAns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72A6"/>
    <w:pP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C055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55C"/>
    <w:rPr>
      <w:rFonts w:eastAsiaTheme="minorHAns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C05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55C"/>
    <w:rPr>
      <w:rFonts w:eastAsiaTheme="minorHAns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5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55C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2A6"/>
    <w:rPr>
      <w:rFonts w:eastAsiaTheme="minorHAns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72A6"/>
    <w:pP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C055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55C"/>
    <w:rPr>
      <w:rFonts w:eastAsiaTheme="minorHAns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C05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55C"/>
    <w:rPr>
      <w:rFonts w:eastAsiaTheme="minorHAns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5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55C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7DAF014A</Template>
  <TotalTime>0</TotalTime>
  <Pages>2</Pages>
  <Words>482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 Thorley</dc:creator>
  <cp:lastModifiedBy>Nicola Thorley</cp:lastModifiedBy>
  <cp:revision>2</cp:revision>
  <cp:lastPrinted>2016-02-29T08:16:00Z</cp:lastPrinted>
  <dcterms:created xsi:type="dcterms:W3CDTF">2016-02-29T11:36:00Z</dcterms:created>
  <dcterms:modified xsi:type="dcterms:W3CDTF">2016-02-29T11:36:00Z</dcterms:modified>
</cp:coreProperties>
</file>